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B5" w:rsidRDefault="00F604EF" w:rsidP="00F6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EF">
        <w:rPr>
          <w:rFonts w:ascii="Times New Roman" w:hAnsi="Times New Roman" w:cs="Times New Roman"/>
          <w:b/>
          <w:sz w:val="28"/>
          <w:szCs w:val="28"/>
        </w:rPr>
        <w:t>График  вывоза твердых коммунальных отходов региональным оператором ООО « Вега»</w:t>
      </w:r>
    </w:p>
    <w:p w:rsidR="00F604EF" w:rsidRDefault="00F604EF" w:rsidP="00F60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984"/>
        <w:gridCol w:w="2127"/>
        <w:gridCol w:w="1842"/>
        <w:gridCol w:w="1125"/>
        <w:gridCol w:w="1285"/>
        <w:gridCol w:w="1125"/>
        <w:gridCol w:w="1285"/>
        <w:gridCol w:w="850"/>
        <w:gridCol w:w="905"/>
        <w:gridCol w:w="1866"/>
      </w:tblGrid>
      <w:tr w:rsidR="00F604EF" w:rsidTr="001D3847">
        <w:trPr>
          <w:trHeight w:val="405"/>
        </w:trPr>
        <w:tc>
          <w:tcPr>
            <w:tcW w:w="392" w:type="dxa"/>
            <w:vMerge w:val="restart"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Муниципальное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127" w:type="dxa"/>
            <w:vMerge w:val="restart"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 xml:space="preserve">Населенный 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842" w:type="dxa"/>
            <w:vMerge w:val="restart"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Численность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отходообразователей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(населения)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на 01.09.2024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1" w:type="dxa"/>
            <w:gridSpan w:val="7"/>
            <w:tcBorders>
              <w:bottom w:val="single" w:sz="4" w:space="0" w:color="auto"/>
            </w:tcBorders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График вывоза</w:t>
            </w:r>
          </w:p>
        </w:tc>
      </w:tr>
      <w:tr w:rsidR="00F604EF" w:rsidTr="001D3847">
        <w:trPr>
          <w:trHeight w:val="720"/>
        </w:trPr>
        <w:tc>
          <w:tcPr>
            <w:tcW w:w="392" w:type="dxa"/>
            <w:vMerge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Бестарный сбор</w:t>
            </w:r>
          </w:p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 xml:space="preserve"> в пакеты, выданные региональным оператором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4EF" w:rsidRPr="00F604EF" w:rsidRDefault="00F604EF" w:rsidP="00F604EF">
            <w:pPr>
              <w:jc w:val="center"/>
              <w:rPr>
                <w:rFonts w:ascii="Times New Roman" w:hAnsi="Times New Roman" w:cs="Times New Roman"/>
              </w:rPr>
            </w:pPr>
            <w:r w:rsidRPr="00F604EF">
              <w:rPr>
                <w:rFonts w:ascii="Times New Roman" w:hAnsi="Times New Roman" w:cs="Times New Roman"/>
              </w:rPr>
              <w:t>Контейнерный сбор</w:t>
            </w:r>
          </w:p>
        </w:tc>
      </w:tr>
      <w:tr w:rsidR="00416035" w:rsidTr="001D3847">
        <w:trPr>
          <w:trHeight w:val="645"/>
        </w:trPr>
        <w:tc>
          <w:tcPr>
            <w:tcW w:w="392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035">
              <w:rPr>
                <w:rFonts w:ascii="Times New Roman" w:hAnsi="Times New Roman" w:cs="Times New Roman"/>
                <w:sz w:val="20"/>
                <w:szCs w:val="20"/>
              </w:rPr>
              <w:t>Сортированные</w:t>
            </w:r>
            <w:proofErr w:type="gramEnd"/>
            <w:r w:rsidRPr="00416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035">
              <w:rPr>
                <w:rFonts w:ascii="Times New Roman" w:hAnsi="Times New Roman" w:cs="Times New Roman"/>
                <w:sz w:val="20"/>
                <w:szCs w:val="20"/>
              </w:rPr>
              <w:t>отходы-мокрые</w:t>
            </w:r>
            <w:proofErr w:type="spellEnd"/>
            <w:r w:rsidRPr="00416035">
              <w:rPr>
                <w:rFonts w:ascii="Times New Roman" w:hAnsi="Times New Roman" w:cs="Times New Roman"/>
                <w:sz w:val="20"/>
                <w:szCs w:val="20"/>
              </w:rPr>
              <w:t>/за исключением пластика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Сортированные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отходы-пластик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Крупногабаритные отходы-бункеры-накопители</w:t>
            </w:r>
          </w:p>
        </w:tc>
      </w:tr>
      <w:tr w:rsidR="00416035" w:rsidTr="001D3847">
        <w:trPr>
          <w:trHeight w:val="720"/>
        </w:trPr>
        <w:tc>
          <w:tcPr>
            <w:tcW w:w="392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6035" w:rsidRPr="00F604EF" w:rsidRDefault="00416035" w:rsidP="00F6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6035">
              <w:rPr>
                <w:rFonts w:ascii="Times New Roman" w:hAnsi="Times New Roman" w:cs="Times New Roman"/>
                <w:sz w:val="20"/>
                <w:szCs w:val="20"/>
              </w:rPr>
              <w:t>оябрь-март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апрель-октябрь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6035">
              <w:rPr>
                <w:rFonts w:ascii="Times New Roman" w:hAnsi="Times New Roman" w:cs="Times New Roman"/>
                <w:sz w:val="20"/>
                <w:szCs w:val="20"/>
              </w:rPr>
              <w:t>оябрь-март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ноябрь-март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апрель-октябрь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416035" w:rsidRPr="00416035" w:rsidRDefault="00416035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315"/>
        </w:trPr>
        <w:tc>
          <w:tcPr>
            <w:tcW w:w="392" w:type="dxa"/>
            <w:vMerge w:val="restart"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E56D8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35">
              <w:rPr>
                <w:rFonts w:ascii="Times New Roman" w:hAnsi="Times New Roman" w:cs="Times New Roman"/>
                <w:sz w:val="24"/>
                <w:szCs w:val="24"/>
              </w:rPr>
              <w:t>Прогрессовское</w:t>
            </w:r>
          </w:p>
          <w:p w:rsidR="002E56D8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56D8" w:rsidRPr="001D3847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r w:rsidRPr="001D3847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47">
              <w:rPr>
                <w:rFonts w:ascii="Times New Roman" w:hAnsi="Times New Roman" w:cs="Times New Roman"/>
                <w:sz w:val="20"/>
                <w:szCs w:val="20"/>
              </w:rPr>
              <w:t>Вт(1-4)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47">
              <w:rPr>
                <w:rFonts w:ascii="Times New Roman" w:hAnsi="Times New Roman" w:cs="Times New Roman"/>
                <w:sz w:val="20"/>
                <w:szCs w:val="20"/>
              </w:rPr>
              <w:t>Вт(1-4)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210"/>
        </w:trPr>
        <w:tc>
          <w:tcPr>
            <w:tcW w:w="392" w:type="dxa"/>
            <w:vMerge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D3847">
              <w:rPr>
                <w:rFonts w:ascii="Times New Roman" w:hAnsi="Times New Roman" w:cs="Times New Roman"/>
              </w:rPr>
              <w:t>ело</w:t>
            </w:r>
            <w:r>
              <w:rPr>
                <w:rFonts w:ascii="Times New Roman" w:hAnsi="Times New Roman" w:cs="Times New Roman"/>
              </w:rPr>
              <w:t xml:space="preserve"> Ивановка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300"/>
        </w:trPr>
        <w:tc>
          <w:tcPr>
            <w:tcW w:w="392" w:type="dxa"/>
            <w:vMerge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Марьевка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300"/>
        </w:trPr>
        <w:tc>
          <w:tcPr>
            <w:tcW w:w="392" w:type="dxa"/>
            <w:vMerge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Никольское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300"/>
        </w:trPr>
        <w:tc>
          <w:tcPr>
            <w:tcW w:w="392" w:type="dxa"/>
            <w:vMerge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Борщево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8" w:rsidTr="001D3847">
        <w:trPr>
          <w:trHeight w:val="300"/>
        </w:trPr>
        <w:tc>
          <w:tcPr>
            <w:tcW w:w="392" w:type="dxa"/>
            <w:vMerge/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E56D8" w:rsidRPr="00416035" w:rsidRDefault="002E56D8" w:rsidP="0041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56D8" w:rsidRDefault="002E56D8" w:rsidP="001D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Пады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</w:rPr>
            </w:pPr>
            <w:r w:rsidRPr="001D384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2E56D8" w:rsidRDefault="002E56D8" w:rsidP="00F6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8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Вт.пт.</w:t>
            </w:r>
          </w:p>
          <w:p w:rsidR="002E56D8" w:rsidRPr="001D3847" w:rsidRDefault="002E56D8" w:rsidP="001D3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(1,3,5)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(2,4)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2E56D8" w:rsidRPr="001D3847" w:rsidRDefault="002E56D8" w:rsidP="00F6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4EF" w:rsidRPr="002E56D8" w:rsidRDefault="00F604EF" w:rsidP="00F604EF">
      <w:pPr>
        <w:jc w:val="center"/>
        <w:rPr>
          <w:rFonts w:ascii="Times New Roman" w:hAnsi="Times New Roman" w:cs="Times New Roman"/>
        </w:rPr>
      </w:pPr>
    </w:p>
    <w:p w:rsidR="001D3847" w:rsidRDefault="002E56D8" w:rsidP="002E56D8">
      <w:pPr>
        <w:rPr>
          <w:rFonts w:ascii="Times New Roman" w:hAnsi="Times New Roman" w:cs="Times New Roman"/>
        </w:rPr>
      </w:pPr>
      <w:r w:rsidRPr="002E56D8">
        <w:rPr>
          <w:rFonts w:ascii="Times New Roman" w:hAnsi="Times New Roman" w:cs="Times New Roman"/>
        </w:rPr>
        <w:t>Согласовано: Щеголев А.П.                                                                                                                                      Согласовано: Сысоев Е.В.</w:t>
      </w:r>
    </w:p>
    <w:p w:rsidR="002E56D8" w:rsidRPr="002E56D8" w:rsidRDefault="002E56D8" w:rsidP="002E56D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летний период вывоз ТКО осуществляется не позднее суток после накоплени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 график накопления = график вывоза- ( минус) 1 день. Информацию о графике накопления до потребителей доводит ОМС путем размещения такого графика на контейнерной площадке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месте) накопления.</w:t>
      </w:r>
    </w:p>
    <w:sectPr w:rsidR="002E56D8" w:rsidRPr="002E56D8" w:rsidSect="00F60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D9D"/>
    <w:multiLevelType w:val="hybridMultilevel"/>
    <w:tmpl w:val="5D14299C"/>
    <w:lvl w:ilvl="0" w:tplc="158CF5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95648"/>
    <w:multiLevelType w:val="hybridMultilevel"/>
    <w:tmpl w:val="3AFAD9EE"/>
    <w:lvl w:ilvl="0" w:tplc="4DAE9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4EF"/>
    <w:rsid w:val="001D3847"/>
    <w:rsid w:val="002E56D8"/>
    <w:rsid w:val="00416035"/>
    <w:rsid w:val="00B16CB5"/>
    <w:rsid w:val="00F6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3</cp:revision>
  <dcterms:created xsi:type="dcterms:W3CDTF">2024-10-25T06:06:00Z</dcterms:created>
  <dcterms:modified xsi:type="dcterms:W3CDTF">2024-10-25T06:44:00Z</dcterms:modified>
</cp:coreProperties>
</file>