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83" w:rsidRPr="008B0883" w:rsidRDefault="008B0883" w:rsidP="008B0883">
      <w:pPr>
        <w:pStyle w:val="1"/>
        <w:ind w:firstLine="0"/>
        <w:rPr>
          <w:rFonts w:cs="Times New Roman"/>
          <w:b w:val="0"/>
          <w:bCs/>
          <w:sz w:val="28"/>
          <w:szCs w:val="28"/>
        </w:rPr>
      </w:pPr>
      <w:r w:rsidRPr="008B0883">
        <w:rPr>
          <w:rFonts w:cs="Times New Roman"/>
          <w:b w:val="0"/>
          <w:bCs/>
          <w:sz w:val="28"/>
          <w:szCs w:val="28"/>
        </w:rPr>
        <w:t xml:space="preserve">СОВЕТ НАРОДНЫХ ДЕПУТАТОВ                                                        </w:t>
      </w:r>
      <w:r w:rsidR="00B43A57">
        <w:rPr>
          <w:rFonts w:cs="Times New Roman"/>
          <w:b w:val="0"/>
          <w:bCs/>
          <w:sz w:val="28"/>
          <w:szCs w:val="28"/>
        </w:rPr>
        <w:t>ПРОГРЕССОВСКОГО</w:t>
      </w:r>
      <w:r w:rsidRPr="008B0883">
        <w:rPr>
          <w:rFonts w:cs="Times New Roman"/>
          <w:b w:val="0"/>
          <w:bCs/>
          <w:sz w:val="28"/>
          <w:szCs w:val="28"/>
        </w:rPr>
        <w:t xml:space="preserve"> СЕЛЬСКОГО ПОСЕЛЕНИЯ                                    ПАНИНСКОГО МУНИЦИПАЛЬНОГО РАЙОНА                                  ВОРОНЕЖСКОЙ ОБЛАСТИ</w:t>
      </w:r>
    </w:p>
    <w:p w:rsidR="008B0883" w:rsidRPr="008B0883" w:rsidRDefault="008B0883" w:rsidP="008B0883">
      <w:pPr>
        <w:pStyle w:val="1"/>
        <w:rPr>
          <w:rFonts w:cs="Times New Roman"/>
          <w:b w:val="0"/>
          <w:bCs/>
          <w:sz w:val="28"/>
          <w:szCs w:val="28"/>
        </w:rPr>
      </w:pPr>
      <w:r w:rsidRPr="008B0883">
        <w:rPr>
          <w:rFonts w:cs="Times New Roman"/>
          <w:b w:val="0"/>
          <w:bCs/>
          <w:sz w:val="28"/>
          <w:szCs w:val="28"/>
        </w:rPr>
        <w:t>Р Е Ш Е Н И Е</w:t>
      </w:r>
    </w:p>
    <w:p w:rsidR="008B0883" w:rsidRDefault="008B0883" w:rsidP="008B0883">
      <w:pPr>
        <w:jc w:val="center"/>
        <w:rPr>
          <w:rFonts w:cs="Times New Roman"/>
          <w:szCs w:val="24"/>
        </w:rPr>
      </w:pPr>
    </w:p>
    <w:p w:rsidR="008B0883" w:rsidRPr="007C1D6D" w:rsidRDefault="008B0883" w:rsidP="008B0883">
      <w:pPr>
        <w:pStyle w:val="1"/>
        <w:ind w:firstLine="0"/>
        <w:jc w:val="left"/>
        <w:rPr>
          <w:rFonts w:cs="Times New Roman"/>
          <w:b w:val="0"/>
          <w:bCs/>
          <w:sz w:val="28"/>
          <w:szCs w:val="28"/>
        </w:rPr>
      </w:pPr>
      <w:r w:rsidRPr="007C1D6D">
        <w:rPr>
          <w:rFonts w:cs="Times New Roman"/>
          <w:b w:val="0"/>
          <w:bCs/>
          <w:sz w:val="28"/>
          <w:szCs w:val="28"/>
        </w:rPr>
        <w:t xml:space="preserve">от  </w:t>
      </w:r>
      <w:r w:rsidR="00B43A57">
        <w:rPr>
          <w:rFonts w:cs="Times New Roman"/>
          <w:b w:val="0"/>
          <w:bCs/>
          <w:sz w:val="28"/>
          <w:szCs w:val="28"/>
        </w:rPr>
        <w:t>25</w:t>
      </w:r>
      <w:r w:rsidR="007C1D6D" w:rsidRPr="007C1D6D">
        <w:rPr>
          <w:rFonts w:cs="Times New Roman"/>
          <w:b w:val="0"/>
          <w:bCs/>
          <w:sz w:val="28"/>
          <w:szCs w:val="28"/>
        </w:rPr>
        <w:t>.</w:t>
      </w:r>
      <w:r w:rsidR="00B43A57">
        <w:rPr>
          <w:rFonts w:cs="Times New Roman"/>
          <w:b w:val="0"/>
          <w:bCs/>
          <w:sz w:val="28"/>
          <w:szCs w:val="28"/>
        </w:rPr>
        <w:t>06.</w:t>
      </w:r>
      <w:r w:rsidR="007C1D6D" w:rsidRPr="007C1D6D">
        <w:rPr>
          <w:rFonts w:cs="Times New Roman"/>
          <w:b w:val="0"/>
          <w:bCs/>
          <w:sz w:val="28"/>
          <w:szCs w:val="28"/>
        </w:rPr>
        <w:t>2024  года   №  1</w:t>
      </w:r>
      <w:r w:rsidR="00B43A57">
        <w:rPr>
          <w:rFonts w:cs="Times New Roman"/>
          <w:b w:val="0"/>
          <w:bCs/>
          <w:sz w:val="28"/>
          <w:szCs w:val="28"/>
        </w:rPr>
        <w:t>60</w:t>
      </w:r>
    </w:p>
    <w:p w:rsidR="008B0883" w:rsidRDefault="00B43A57" w:rsidP="008B0883">
      <w:pPr>
        <w:rPr>
          <w:rFonts w:cs="Times New Roman"/>
          <w:szCs w:val="24"/>
        </w:rPr>
      </w:pPr>
      <w:r>
        <w:t xml:space="preserve"> </w:t>
      </w:r>
      <w:r w:rsidR="008B0883">
        <w:t xml:space="preserve"> с. </w:t>
      </w:r>
      <w:r>
        <w:t>Михайловка 1-я</w:t>
      </w:r>
    </w:p>
    <w:p w:rsidR="00B76AD2" w:rsidRPr="008B0883" w:rsidRDefault="005A6F9C" w:rsidP="00255A88">
      <w:pPr>
        <w:pStyle w:val="1"/>
        <w:ind w:firstLine="0"/>
        <w:jc w:val="left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Об утверждении Порядка ведения </w:t>
      </w:r>
      <w:r w:rsidR="008B0883">
        <w:rPr>
          <w:rFonts w:cs="Times New Roman"/>
          <w:sz w:val="28"/>
          <w:szCs w:val="28"/>
        </w:rPr>
        <w:t xml:space="preserve">                                                                                          </w:t>
      </w:r>
      <w:r w:rsidRPr="008B0883">
        <w:rPr>
          <w:rFonts w:cs="Times New Roman"/>
          <w:sz w:val="28"/>
          <w:szCs w:val="28"/>
        </w:rPr>
        <w:t xml:space="preserve">реестра муниципального имущества </w:t>
      </w:r>
      <w:r w:rsidR="008B0883">
        <w:rPr>
          <w:rFonts w:cs="Times New Roman"/>
          <w:sz w:val="28"/>
          <w:szCs w:val="28"/>
        </w:rPr>
        <w:t xml:space="preserve">                                                                 </w:t>
      </w:r>
      <w:r w:rsidR="00B43A57">
        <w:rPr>
          <w:rFonts w:cs="Times New Roman"/>
          <w:sz w:val="28"/>
          <w:szCs w:val="28"/>
        </w:rPr>
        <w:t>Прогрессовского</w:t>
      </w:r>
      <w:r w:rsidR="00A42F52" w:rsidRPr="008B0883">
        <w:rPr>
          <w:rFonts w:cs="Times New Roman"/>
          <w:sz w:val="28"/>
          <w:szCs w:val="28"/>
        </w:rPr>
        <w:t xml:space="preserve"> сельского поселения</w:t>
      </w:r>
      <w:r w:rsidR="008B0883">
        <w:rPr>
          <w:rFonts w:cs="Times New Roman"/>
          <w:sz w:val="28"/>
          <w:szCs w:val="28"/>
        </w:rPr>
        <w:t xml:space="preserve">                                                                   </w:t>
      </w:r>
      <w:r w:rsidR="00A42F52" w:rsidRPr="008B0883">
        <w:rPr>
          <w:rFonts w:cs="Times New Roman"/>
          <w:sz w:val="28"/>
          <w:szCs w:val="28"/>
        </w:rPr>
        <w:t xml:space="preserve"> Панинского </w:t>
      </w:r>
      <w:r w:rsidRPr="008B0883">
        <w:rPr>
          <w:rFonts w:cs="Times New Roman"/>
          <w:sz w:val="28"/>
          <w:szCs w:val="28"/>
        </w:rPr>
        <w:t>муниципаль</w:t>
      </w:r>
      <w:r w:rsidR="008B0883">
        <w:rPr>
          <w:rFonts w:cs="Times New Roman"/>
          <w:sz w:val="28"/>
          <w:szCs w:val="28"/>
        </w:rPr>
        <w:t>ного района                                                                    Воронежской области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Default="008B0883" w:rsidP="008B0883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5A6F9C" w:rsidRPr="008B0883">
        <w:rPr>
          <w:rFonts w:cs="Times New Roman"/>
          <w:sz w:val="28"/>
          <w:szCs w:val="28"/>
        </w:rPr>
        <w:t xml:space="preserve">В соответствии с </w:t>
      </w:r>
      <w:hyperlink r:id="rId7" w:history="1">
        <w:r w:rsidR="005A6F9C" w:rsidRPr="008B0883">
          <w:rPr>
            <w:rFonts w:cs="Times New Roman"/>
            <w:sz w:val="28"/>
            <w:szCs w:val="28"/>
          </w:rPr>
          <w:t>частью 5 статьи 51</w:t>
        </w:r>
      </w:hyperlink>
      <w:r w:rsidR="005A6F9C" w:rsidRPr="008B0883">
        <w:rPr>
          <w:rFonts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hyperlink r:id="rId8" w:history="1">
        <w:r w:rsidR="005A6F9C" w:rsidRPr="008B0883">
          <w:rPr>
            <w:rFonts w:cs="Times New Roman"/>
            <w:sz w:val="28"/>
            <w:szCs w:val="28"/>
          </w:rPr>
          <w:t>Приказом</w:t>
        </w:r>
      </w:hyperlink>
      <w:r w:rsidR="005A6F9C" w:rsidRPr="008B0883">
        <w:rPr>
          <w:rFonts w:cs="Times New Roman"/>
          <w:sz w:val="28"/>
          <w:szCs w:val="28"/>
        </w:rPr>
        <w:t xml:space="preserve"> Минфина России от 10 октября 2023 N 163н "Об утверждении Порядка ведения органами местного самоуправления реестров муниципального имущества", Совет народных депутатов </w:t>
      </w:r>
      <w:r w:rsidR="00B43A57">
        <w:rPr>
          <w:rFonts w:cs="Times New Roman"/>
          <w:sz w:val="28"/>
          <w:szCs w:val="28"/>
        </w:rPr>
        <w:t>Прогрессовского</w:t>
      </w:r>
      <w:r w:rsidR="005A6F9C" w:rsidRPr="008B0883">
        <w:rPr>
          <w:rFonts w:cs="Times New Roman"/>
          <w:sz w:val="28"/>
          <w:szCs w:val="28"/>
        </w:rPr>
        <w:t xml:space="preserve"> сельского поселения </w:t>
      </w:r>
      <w:r w:rsidR="00A42F52" w:rsidRPr="008B0883">
        <w:rPr>
          <w:rFonts w:cs="Times New Roman"/>
          <w:sz w:val="28"/>
          <w:szCs w:val="28"/>
        </w:rPr>
        <w:t>Панинского</w:t>
      </w:r>
      <w:r w:rsidR="005A6F9C" w:rsidRPr="008B0883">
        <w:rPr>
          <w:rFonts w:cs="Times New Roman"/>
          <w:sz w:val="28"/>
          <w:szCs w:val="28"/>
        </w:rPr>
        <w:t xml:space="preserve"> муниципального района Воронежской области решил:</w:t>
      </w:r>
    </w:p>
    <w:p w:rsidR="008B0883" w:rsidRPr="008B0883" w:rsidRDefault="008B0883" w:rsidP="00255A88">
      <w:pPr>
        <w:pStyle w:val="a3"/>
        <w:ind w:firstLine="0"/>
        <w:rPr>
          <w:rFonts w:cs="Times New Roman"/>
          <w:sz w:val="28"/>
          <w:szCs w:val="28"/>
        </w:rPr>
      </w:pPr>
    </w:p>
    <w:p w:rsidR="008B0883" w:rsidRDefault="00255A88" w:rsidP="00255A88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1.</w:t>
      </w:r>
      <w:r w:rsidR="005A6F9C" w:rsidRPr="008B0883">
        <w:rPr>
          <w:rFonts w:cs="Times New Roman"/>
          <w:sz w:val="28"/>
          <w:szCs w:val="28"/>
        </w:rPr>
        <w:t xml:space="preserve">Утвердить Порядок ведения реестра муниципального имущества </w:t>
      </w:r>
    </w:p>
    <w:p w:rsidR="00255A88" w:rsidRDefault="00B43A57" w:rsidP="00255A88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Прогрессовского</w:t>
      </w:r>
      <w:r w:rsidR="00A42F52" w:rsidRPr="008B0883">
        <w:rPr>
          <w:rFonts w:cs="Times New Roman"/>
          <w:sz w:val="28"/>
          <w:szCs w:val="28"/>
        </w:rPr>
        <w:t xml:space="preserve"> сельского поселения Панинского</w:t>
      </w:r>
      <w:r w:rsidR="005A6F9C" w:rsidRPr="008B0883">
        <w:rPr>
          <w:rFonts w:cs="Times New Roman"/>
          <w:sz w:val="28"/>
          <w:szCs w:val="28"/>
        </w:rPr>
        <w:t xml:space="preserve"> муниципального района Воронежской области согласно приложению к настоящему решению.</w:t>
      </w:r>
      <w:r w:rsidR="00255A88">
        <w:rPr>
          <w:rFonts w:cs="Times New Roman"/>
          <w:sz w:val="28"/>
          <w:szCs w:val="28"/>
        </w:rPr>
        <w:t xml:space="preserve">                          </w:t>
      </w:r>
    </w:p>
    <w:p w:rsidR="00255A88" w:rsidRDefault="00255A88" w:rsidP="00255A88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2.Признать утратившим силу решение Совета</w:t>
      </w:r>
      <w:r w:rsidRPr="00255A88">
        <w:rPr>
          <w:rFonts w:cs="Times New Roman"/>
          <w:sz w:val="28"/>
          <w:szCs w:val="28"/>
        </w:rPr>
        <w:t xml:space="preserve"> </w:t>
      </w:r>
      <w:r w:rsidRPr="008B0883">
        <w:rPr>
          <w:rFonts w:cs="Times New Roman"/>
          <w:sz w:val="28"/>
          <w:szCs w:val="28"/>
        </w:rPr>
        <w:t xml:space="preserve">народных депутатов </w:t>
      </w:r>
    </w:p>
    <w:p w:rsidR="008B0883" w:rsidRDefault="00B43A57" w:rsidP="00255A88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Прогрессовского</w:t>
      </w:r>
      <w:r w:rsidR="00255A88" w:rsidRPr="008B0883">
        <w:rPr>
          <w:rFonts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255A88" w:rsidRPr="00255A88">
        <w:rPr>
          <w:rFonts w:cs="Times New Roman"/>
          <w:sz w:val="28"/>
          <w:szCs w:val="28"/>
        </w:rPr>
        <w:t xml:space="preserve"> </w:t>
      </w:r>
      <w:r w:rsidR="00255A88">
        <w:rPr>
          <w:rFonts w:cs="Times New Roman"/>
          <w:sz w:val="28"/>
          <w:szCs w:val="28"/>
        </w:rPr>
        <w:t xml:space="preserve"> от </w:t>
      </w:r>
      <w:r>
        <w:rPr>
          <w:rFonts w:cs="Times New Roman"/>
          <w:sz w:val="28"/>
          <w:szCs w:val="28"/>
        </w:rPr>
        <w:t>28.02.2024</w:t>
      </w:r>
      <w:r w:rsidR="00255A88">
        <w:rPr>
          <w:rFonts w:cs="Times New Roman"/>
          <w:sz w:val="28"/>
          <w:szCs w:val="28"/>
        </w:rPr>
        <w:t xml:space="preserve"> года № </w:t>
      </w:r>
      <w:r>
        <w:rPr>
          <w:rFonts w:cs="Times New Roman"/>
          <w:sz w:val="28"/>
          <w:szCs w:val="28"/>
        </w:rPr>
        <w:t>145</w:t>
      </w:r>
      <w:r w:rsidR="00255A88">
        <w:rPr>
          <w:rFonts w:cs="Times New Roman"/>
          <w:sz w:val="28"/>
          <w:szCs w:val="28"/>
        </w:rPr>
        <w:t xml:space="preserve"> «</w:t>
      </w:r>
      <w:r w:rsidR="00255A88" w:rsidRPr="008B0883">
        <w:rPr>
          <w:rFonts w:cs="Times New Roman"/>
          <w:sz w:val="28"/>
          <w:szCs w:val="28"/>
        </w:rPr>
        <w:t xml:space="preserve">Об утверждении Порядка ведения </w:t>
      </w:r>
      <w:r w:rsidR="00255A88">
        <w:rPr>
          <w:rFonts w:cs="Times New Roman"/>
          <w:sz w:val="28"/>
          <w:szCs w:val="28"/>
        </w:rPr>
        <w:t xml:space="preserve">                                                                                          реестра </w:t>
      </w:r>
      <w:r w:rsidR="00255A88" w:rsidRPr="008B0883">
        <w:rPr>
          <w:rFonts w:cs="Times New Roman"/>
          <w:sz w:val="28"/>
          <w:szCs w:val="28"/>
        </w:rPr>
        <w:t xml:space="preserve">муниципального имущества </w:t>
      </w:r>
      <w:r>
        <w:rPr>
          <w:rFonts w:cs="Times New Roman"/>
          <w:sz w:val="28"/>
          <w:szCs w:val="28"/>
        </w:rPr>
        <w:t>Прогрессовского</w:t>
      </w:r>
      <w:r w:rsidR="00255A88" w:rsidRPr="008B0883">
        <w:rPr>
          <w:rFonts w:cs="Times New Roman"/>
          <w:sz w:val="28"/>
          <w:szCs w:val="28"/>
        </w:rPr>
        <w:t xml:space="preserve"> сельского поселения</w:t>
      </w:r>
      <w:r w:rsidR="00255A88">
        <w:rPr>
          <w:rFonts w:cs="Times New Roman"/>
          <w:sz w:val="28"/>
          <w:szCs w:val="28"/>
        </w:rPr>
        <w:t xml:space="preserve">                                                                   </w:t>
      </w:r>
      <w:r w:rsidR="00255A88" w:rsidRPr="008B0883">
        <w:rPr>
          <w:rFonts w:cs="Times New Roman"/>
          <w:sz w:val="28"/>
          <w:szCs w:val="28"/>
        </w:rPr>
        <w:t xml:space="preserve"> Панинского муниципаль</w:t>
      </w:r>
      <w:r w:rsidR="00255A88">
        <w:rPr>
          <w:rFonts w:cs="Times New Roman"/>
          <w:sz w:val="28"/>
          <w:szCs w:val="28"/>
        </w:rPr>
        <w:t>ного района   Воронежской области».</w:t>
      </w:r>
    </w:p>
    <w:p w:rsidR="00255A88" w:rsidRPr="008B0883" w:rsidRDefault="00255A88" w:rsidP="00255A88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3.</w:t>
      </w:r>
      <w:r w:rsidR="00184938" w:rsidRPr="00184938">
        <w:rPr>
          <w:rFonts w:cs="Times New Roman"/>
          <w:sz w:val="28"/>
          <w:szCs w:val="28"/>
        </w:rPr>
        <w:t xml:space="preserve"> </w:t>
      </w:r>
      <w:r w:rsidR="00184938" w:rsidRPr="000328D5">
        <w:rPr>
          <w:rFonts w:cs="Times New Roman"/>
          <w:sz w:val="28"/>
          <w:szCs w:val="28"/>
        </w:rPr>
        <w:t xml:space="preserve">Опубликовать настоящее решение в официальном периодическом печатном издании </w:t>
      </w:r>
      <w:r w:rsidR="00B43A57">
        <w:rPr>
          <w:rFonts w:cs="Times New Roman"/>
          <w:sz w:val="28"/>
          <w:szCs w:val="28"/>
        </w:rPr>
        <w:t>Прогрессовского</w:t>
      </w:r>
      <w:r w:rsidR="00184938" w:rsidRPr="000328D5">
        <w:rPr>
          <w:rFonts w:cs="Times New Roman"/>
          <w:sz w:val="28"/>
          <w:szCs w:val="28"/>
        </w:rPr>
        <w:t xml:space="preserve"> поселения Панинского муниципального района Воронежской области «</w:t>
      </w:r>
      <w:r w:rsidR="00B43A57">
        <w:rPr>
          <w:rFonts w:cs="Times New Roman"/>
          <w:sz w:val="28"/>
          <w:szCs w:val="28"/>
        </w:rPr>
        <w:t>Прогрессовский муниципальный вестник</w:t>
      </w:r>
      <w:r w:rsidR="00184938" w:rsidRPr="000328D5">
        <w:rPr>
          <w:rFonts w:cs="Times New Roman"/>
          <w:sz w:val="28"/>
          <w:szCs w:val="28"/>
        </w:rPr>
        <w:t>».</w:t>
      </w:r>
      <w:r w:rsidR="00184938" w:rsidRPr="00184938">
        <w:rPr>
          <w:rFonts w:cs="Times New Roman"/>
          <w:sz w:val="28"/>
          <w:szCs w:val="28"/>
        </w:rPr>
        <w:t xml:space="preserve"> </w:t>
      </w:r>
    </w:p>
    <w:p w:rsidR="00B76AD2" w:rsidRPr="008B0883" w:rsidRDefault="00255A88" w:rsidP="00255A88">
      <w:pPr>
        <w:pStyle w:val="a3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5A6F9C" w:rsidRPr="008B0883">
        <w:rPr>
          <w:rFonts w:cs="Times New Roman"/>
          <w:sz w:val="28"/>
          <w:szCs w:val="28"/>
        </w:rPr>
        <w:t xml:space="preserve">. Настоящее решение Совета народных депутатов </w:t>
      </w:r>
      <w:r w:rsidR="00B43A57">
        <w:rPr>
          <w:rFonts w:cs="Times New Roman"/>
          <w:sz w:val="28"/>
          <w:szCs w:val="28"/>
        </w:rPr>
        <w:t>Прогрессовского</w:t>
      </w:r>
      <w:r w:rsidR="00A42F52" w:rsidRPr="008B0883">
        <w:rPr>
          <w:rFonts w:cs="Times New Roman"/>
          <w:sz w:val="28"/>
          <w:szCs w:val="28"/>
        </w:rPr>
        <w:t xml:space="preserve"> сельского поселения Панинского</w:t>
      </w:r>
      <w:r w:rsidR="005A6F9C" w:rsidRPr="008B0883">
        <w:rPr>
          <w:rFonts w:cs="Times New Roman"/>
          <w:sz w:val="28"/>
          <w:szCs w:val="28"/>
        </w:rPr>
        <w:t xml:space="preserve"> муниципального района Воронежской области вступает в силу </w:t>
      </w:r>
      <w:r w:rsidR="00B43A57">
        <w:rPr>
          <w:rFonts w:cs="Times New Roman"/>
          <w:sz w:val="28"/>
          <w:szCs w:val="28"/>
        </w:rPr>
        <w:t>после его</w:t>
      </w:r>
      <w:r w:rsidR="005A6F9C" w:rsidRPr="008B0883">
        <w:rPr>
          <w:rFonts w:cs="Times New Roman"/>
          <w:sz w:val="28"/>
          <w:szCs w:val="28"/>
        </w:rPr>
        <w:t xml:space="preserve"> опубликования.</w:t>
      </w:r>
    </w:p>
    <w:p w:rsidR="00B76AD2" w:rsidRPr="008B0883" w:rsidRDefault="00255A88" w:rsidP="00255A88">
      <w:pPr>
        <w:pStyle w:val="a7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5A6F9C" w:rsidRPr="008B0883">
        <w:rPr>
          <w:rFonts w:cs="Times New Roman"/>
          <w:sz w:val="28"/>
          <w:szCs w:val="28"/>
        </w:rPr>
        <w:t>. Контроль за исполнением настоящего решения оставляю за собой.</w:t>
      </w:r>
    </w:p>
    <w:p w:rsidR="008B0883" w:rsidRDefault="008B0883" w:rsidP="00255A88">
      <w:pPr>
        <w:pStyle w:val="a7"/>
        <w:jc w:val="both"/>
        <w:rPr>
          <w:rFonts w:cs="Times New Roman"/>
          <w:sz w:val="28"/>
          <w:szCs w:val="28"/>
        </w:rPr>
      </w:pPr>
    </w:p>
    <w:p w:rsid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Глава </w:t>
      </w:r>
    </w:p>
    <w:p w:rsidR="008B0883" w:rsidRDefault="00B43A57" w:rsidP="00184938">
      <w:pPr>
        <w:pStyle w:val="a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Прогрессовского</w:t>
      </w:r>
      <w:r w:rsidR="005A6F9C" w:rsidRPr="008B0883">
        <w:rPr>
          <w:rFonts w:cs="Times New Roman"/>
          <w:sz w:val="28"/>
          <w:szCs w:val="28"/>
        </w:rPr>
        <w:t xml:space="preserve"> сельского поселения </w:t>
      </w:r>
      <w:r w:rsidR="008B0883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                            Е.В.Сысоев</w:t>
      </w:r>
      <w:r w:rsidR="008B0883">
        <w:rPr>
          <w:rFonts w:cs="Times New Roman"/>
          <w:sz w:val="28"/>
          <w:szCs w:val="28"/>
        </w:rPr>
        <w:t xml:space="preserve">                                                       </w:t>
      </w:r>
    </w:p>
    <w:p w:rsidR="00B43A57" w:rsidRDefault="00B43A57" w:rsidP="00184938">
      <w:pPr>
        <w:pStyle w:val="a7"/>
        <w:jc w:val="both"/>
        <w:rPr>
          <w:rFonts w:cs="Times New Roman"/>
          <w:sz w:val="28"/>
          <w:szCs w:val="28"/>
        </w:rPr>
      </w:pPr>
    </w:p>
    <w:p w:rsidR="00B43A57" w:rsidRDefault="00B43A57" w:rsidP="00184938">
      <w:pPr>
        <w:pStyle w:val="a7"/>
        <w:jc w:val="both"/>
        <w:rPr>
          <w:rFonts w:cs="Times New Roman"/>
          <w:sz w:val="28"/>
          <w:szCs w:val="28"/>
        </w:rPr>
      </w:pPr>
    </w:p>
    <w:p w:rsidR="008B0883" w:rsidRDefault="008B0883" w:rsidP="008B0883">
      <w:pPr>
        <w:pStyle w:val="a7"/>
        <w:ind w:firstLine="8107"/>
        <w:jc w:val="both"/>
        <w:rPr>
          <w:rFonts w:cs="Times New Roman"/>
          <w:sz w:val="28"/>
          <w:szCs w:val="28"/>
        </w:rPr>
      </w:pPr>
    </w:p>
    <w:p w:rsidR="008B0883" w:rsidRDefault="005A6F9C" w:rsidP="008B0883">
      <w:pPr>
        <w:pStyle w:val="a7"/>
        <w:ind w:firstLine="8107"/>
        <w:jc w:val="right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lastRenderedPageBreak/>
        <w:t xml:space="preserve">Приложение </w:t>
      </w:r>
      <w:r w:rsidR="008B0883">
        <w:rPr>
          <w:rFonts w:cs="Times New Roman"/>
          <w:sz w:val="28"/>
          <w:szCs w:val="28"/>
        </w:rPr>
        <w:t xml:space="preserve">                                                      </w:t>
      </w:r>
      <w:r w:rsidRPr="008B0883">
        <w:rPr>
          <w:rFonts w:cs="Times New Roman"/>
          <w:sz w:val="28"/>
          <w:szCs w:val="28"/>
        </w:rPr>
        <w:t>к решению Совета народных депутатов</w:t>
      </w:r>
    </w:p>
    <w:p w:rsidR="008B0883" w:rsidRDefault="008B0883" w:rsidP="008B0883">
      <w:pPr>
        <w:pStyle w:val="a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</w:t>
      </w:r>
      <w:r w:rsidR="005A6F9C" w:rsidRPr="008B0883">
        <w:rPr>
          <w:rFonts w:cs="Times New Roman"/>
          <w:sz w:val="28"/>
          <w:szCs w:val="28"/>
        </w:rPr>
        <w:t xml:space="preserve"> </w:t>
      </w:r>
      <w:r w:rsidR="00B43A57">
        <w:rPr>
          <w:rFonts w:cs="Times New Roman"/>
          <w:sz w:val="28"/>
          <w:szCs w:val="28"/>
        </w:rPr>
        <w:t>Прогрессовского</w:t>
      </w:r>
      <w:r w:rsidR="00A42F52" w:rsidRPr="008B0883">
        <w:rPr>
          <w:rFonts w:cs="Times New Roman"/>
          <w:sz w:val="28"/>
          <w:szCs w:val="28"/>
        </w:rPr>
        <w:t xml:space="preserve"> сельского поселения </w:t>
      </w:r>
      <w:r>
        <w:rPr>
          <w:rFonts w:cs="Times New Roman"/>
          <w:sz w:val="28"/>
          <w:szCs w:val="28"/>
        </w:rPr>
        <w:t xml:space="preserve">                                          </w:t>
      </w:r>
    </w:p>
    <w:p w:rsidR="008B0883" w:rsidRDefault="008B0883" w:rsidP="008B0883">
      <w:pPr>
        <w:pStyle w:val="a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</w:t>
      </w:r>
      <w:r w:rsidR="00A42F52" w:rsidRPr="008B0883">
        <w:rPr>
          <w:rFonts w:cs="Times New Roman"/>
          <w:sz w:val="28"/>
          <w:szCs w:val="28"/>
        </w:rPr>
        <w:t xml:space="preserve">Панинского </w:t>
      </w:r>
      <w:r w:rsidR="005A6F9C" w:rsidRPr="008B0883">
        <w:rPr>
          <w:rFonts w:cs="Times New Roman"/>
          <w:sz w:val="28"/>
          <w:szCs w:val="28"/>
        </w:rPr>
        <w:t xml:space="preserve">муниципального района </w:t>
      </w:r>
      <w:r>
        <w:rPr>
          <w:rFonts w:cs="Times New Roman"/>
          <w:sz w:val="28"/>
          <w:szCs w:val="28"/>
        </w:rPr>
        <w:t xml:space="preserve">      </w:t>
      </w:r>
    </w:p>
    <w:p w:rsidR="00B76AD2" w:rsidRPr="008B0883" w:rsidRDefault="008B0883" w:rsidP="008B0883">
      <w:pPr>
        <w:pStyle w:val="a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</w:t>
      </w:r>
      <w:r w:rsidR="005A6F9C" w:rsidRPr="008B0883">
        <w:rPr>
          <w:rFonts w:cs="Times New Roman"/>
          <w:sz w:val="28"/>
          <w:szCs w:val="28"/>
        </w:rPr>
        <w:t>Воронежской области</w:t>
      </w:r>
    </w:p>
    <w:p w:rsidR="00B76AD2" w:rsidRPr="008B0883" w:rsidRDefault="008B0883" w:rsidP="008B0883">
      <w:pPr>
        <w:pStyle w:val="a3"/>
        <w:ind w:firstLine="680"/>
        <w:jc w:val="center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                                             от </w:t>
      </w:r>
      <w:r w:rsidR="00B43A57">
        <w:rPr>
          <w:rFonts w:cs="Times New Roman"/>
          <w:sz w:val="28"/>
          <w:szCs w:val="28"/>
        </w:rPr>
        <w:t>25 июня</w:t>
      </w:r>
      <w:r w:rsidRPr="008B0883">
        <w:rPr>
          <w:rFonts w:cs="Times New Roman"/>
          <w:sz w:val="28"/>
          <w:szCs w:val="28"/>
        </w:rPr>
        <w:t xml:space="preserve"> 2024 года № 1</w:t>
      </w:r>
      <w:r w:rsidR="00B43A57">
        <w:rPr>
          <w:rFonts w:cs="Times New Roman"/>
          <w:sz w:val="28"/>
          <w:szCs w:val="28"/>
        </w:rPr>
        <w:t>60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7"/>
        <w:ind w:firstLine="680"/>
        <w:jc w:val="center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ПОРЯДОК ВЕДЕНИЯ РЕЕСТРА МУНИЦИПАЛЬНОГО ИМУЩЕСТВА </w:t>
      </w:r>
      <w:r w:rsidR="00B43A57">
        <w:rPr>
          <w:rFonts w:cs="Times New Roman"/>
          <w:sz w:val="28"/>
          <w:szCs w:val="28"/>
        </w:rPr>
        <w:t>ПРОГРЕССОВСКОГО</w:t>
      </w:r>
      <w:r w:rsidR="00A42F52" w:rsidRPr="008B0883">
        <w:rPr>
          <w:rFonts w:cs="Times New Roman"/>
          <w:sz w:val="28"/>
          <w:szCs w:val="28"/>
        </w:rPr>
        <w:t xml:space="preserve"> СЕЛЬСКОГО ПОСЕЛЕНИЯ ПАНИНСКОГО</w:t>
      </w:r>
      <w:r w:rsidRPr="008B0883">
        <w:rPr>
          <w:rFonts w:cs="Times New Roman"/>
          <w:sz w:val="28"/>
          <w:szCs w:val="28"/>
        </w:rPr>
        <w:t xml:space="preserve"> МУНИЦИПАЛЬНОГО РАЙОНА</w:t>
      </w:r>
    </w:p>
    <w:p w:rsidR="00B76AD2" w:rsidRPr="008B0883" w:rsidRDefault="005A6F9C" w:rsidP="008B0883">
      <w:pPr>
        <w:pStyle w:val="a3"/>
        <w:ind w:firstLine="0"/>
        <w:jc w:val="center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ВОРОНЕЖСКОЙ ОБЛАСТИ</w:t>
      </w:r>
    </w:p>
    <w:p w:rsidR="00B76AD2" w:rsidRPr="008B0883" w:rsidRDefault="00B76AD2" w:rsidP="008B0883">
      <w:pPr>
        <w:pStyle w:val="a3"/>
        <w:jc w:val="center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3"/>
        <w:ind w:firstLine="0"/>
        <w:jc w:val="center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I. Общие положения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1. Настоящий Порядок устанавливает правила ведения реестра муниципального имущества </w:t>
      </w:r>
      <w:r w:rsidR="00B43A57">
        <w:rPr>
          <w:rFonts w:cs="Times New Roman"/>
          <w:sz w:val="28"/>
          <w:szCs w:val="28"/>
        </w:rPr>
        <w:t>Прогрессовского</w:t>
      </w:r>
      <w:r w:rsidR="00A42F52" w:rsidRPr="008B0883">
        <w:rPr>
          <w:rFonts w:cs="Times New Roman"/>
          <w:sz w:val="28"/>
          <w:szCs w:val="28"/>
        </w:rPr>
        <w:t xml:space="preserve"> сельского поселения Панинского </w:t>
      </w:r>
      <w:r w:rsidRPr="008B0883">
        <w:rPr>
          <w:rFonts w:cs="Times New Roman"/>
          <w:sz w:val="28"/>
          <w:szCs w:val="28"/>
        </w:rPr>
        <w:t>муниципального района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2. Объектом учета муниципального имущества (далее - объект учета) является следующее муниципальное имущество: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либо иное имущество, отнесенное законом к недвижимым вещам);</w:t>
      </w:r>
    </w:p>
    <w:p w:rsidR="00B76AD2" w:rsidRPr="008B0883" w:rsidRDefault="005A6F9C" w:rsidP="008B0883">
      <w:pPr>
        <w:pStyle w:val="a7"/>
        <w:ind w:firstLine="680"/>
        <w:jc w:val="both"/>
        <w:rPr>
          <w:rFonts w:cs="Times New Roman"/>
          <w:color w:val="FF0000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движимые вещи (в том числе транспортные средства)</w:t>
      </w:r>
      <w:r w:rsidR="00782D1C" w:rsidRPr="008B0883">
        <w:rPr>
          <w:rFonts w:cs="Times New Roman"/>
          <w:sz w:val="28"/>
          <w:szCs w:val="28"/>
        </w:rPr>
        <w:t xml:space="preserve"> </w:t>
      </w:r>
      <w:r w:rsidR="008B0883">
        <w:rPr>
          <w:rFonts w:cs="Times New Roman"/>
          <w:sz w:val="28"/>
          <w:szCs w:val="28"/>
        </w:rPr>
        <w:t>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3. Ведение реестра осуществляется администрацией </w:t>
      </w:r>
      <w:r w:rsidR="00B43A57">
        <w:rPr>
          <w:rFonts w:cs="Times New Roman"/>
          <w:sz w:val="28"/>
          <w:szCs w:val="28"/>
        </w:rPr>
        <w:t>Прогрессовского</w:t>
      </w:r>
      <w:r w:rsidR="00A42F52" w:rsidRPr="008B0883">
        <w:rPr>
          <w:rFonts w:cs="Times New Roman"/>
          <w:sz w:val="28"/>
          <w:szCs w:val="28"/>
        </w:rPr>
        <w:t xml:space="preserve"> сельского поселения Панинского</w:t>
      </w:r>
      <w:r w:rsidRPr="008B0883">
        <w:rPr>
          <w:rFonts w:cs="Times New Roman"/>
          <w:sz w:val="28"/>
          <w:szCs w:val="28"/>
        </w:rPr>
        <w:t xml:space="preserve"> муниципального района Воронежской области. Функции по ведению реестра осуществляет отдел по экономике, управлению муниципальным имуществом и земельными ресурсами (далее - уполномоченный орган).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4. 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5. 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76AD2" w:rsidRPr="008B0883" w:rsidRDefault="005A6F9C" w:rsidP="008B0883">
      <w:pPr>
        <w:pStyle w:val="a7"/>
        <w:ind w:firstLine="680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lastRenderedPageBreak/>
        <w:t xml:space="preserve">Форма выписки из реестра приведена в приложении к настоящему Порядку. </w:t>
      </w:r>
      <w:r w:rsidR="00A42F52" w:rsidRPr="008B0883">
        <w:rPr>
          <w:rFonts w:cs="Times New Roman"/>
          <w:sz w:val="28"/>
          <w:szCs w:val="28"/>
        </w:rPr>
        <w:t xml:space="preserve">                                   </w:t>
      </w:r>
      <w:r w:rsidRPr="008B0883">
        <w:rPr>
          <w:rFonts w:cs="Times New Roman"/>
          <w:sz w:val="28"/>
          <w:szCs w:val="28"/>
        </w:rPr>
        <w:t>6. Реестр ведется на бумажных и (или) электронных носителях.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7. 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</w:t>
      </w:r>
      <w:r w:rsidR="00B43A57">
        <w:rPr>
          <w:rFonts w:cs="Times New Roman"/>
          <w:sz w:val="28"/>
          <w:szCs w:val="28"/>
        </w:rPr>
        <w:t>Прогрессовское</w:t>
      </w:r>
      <w:r w:rsidRPr="008B0883">
        <w:rPr>
          <w:rFonts w:cs="Times New Roman"/>
          <w:sz w:val="28"/>
          <w:szCs w:val="28"/>
        </w:rPr>
        <w:t xml:space="preserve"> сельское поселение,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B43A57">
        <w:rPr>
          <w:rFonts w:cs="Times New Roman"/>
          <w:sz w:val="28"/>
          <w:szCs w:val="28"/>
        </w:rPr>
        <w:t>Прогрессовскому</w:t>
      </w:r>
      <w:r w:rsidR="00A42F52" w:rsidRPr="008B0883">
        <w:rPr>
          <w:rFonts w:cs="Times New Roman"/>
          <w:sz w:val="28"/>
          <w:szCs w:val="28"/>
        </w:rPr>
        <w:t xml:space="preserve"> сельскому поселению Панинского </w:t>
      </w:r>
      <w:r w:rsidRPr="008B0883">
        <w:rPr>
          <w:rFonts w:cs="Times New Roman"/>
          <w:sz w:val="28"/>
          <w:szCs w:val="28"/>
        </w:rPr>
        <w:t>муниципального района,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</w:t>
      </w:r>
      <w:r w:rsidR="00782D1C" w:rsidRPr="008B0883">
        <w:rPr>
          <w:rFonts w:cs="Times New Roman"/>
          <w:sz w:val="28"/>
          <w:szCs w:val="28"/>
        </w:rPr>
        <w:t xml:space="preserve"> </w:t>
      </w:r>
      <w:r w:rsidRPr="008B0883">
        <w:rPr>
          <w:rFonts w:cs="Times New Roman"/>
          <w:sz w:val="28"/>
          <w:szCs w:val="28"/>
        </w:rPr>
        <w:t xml:space="preserve">предприятию или иному юридическому либо физическому лицу, которому муниципальное имущество принадлежит на вещном праве или в силу закона (далее -правообладатель), или составляющем муниципальную казну муниципального образования </w:t>
      </w:r>
      <w:r w:rsidR="00B43A57">
        <w:rPr>
          <w:rFonts w:cs="Times New Roman"/>
          <w:sz w:val="28"/>
          <w:szCs w:val="28"/>
        </w:rPr>
        <w:t>Прогрессовское</w:t>
      </w:r>
      <w:r w:rsidR="00A42F52" w:rsidRPr="008B0883">
        <w:rPr>
          <w:rFonts w:cs="Times New Roman"/>
          <w:sz w:val="28"/>
          <w:szCs w:val="28"/>
        </w:rPr>
        <w:t xml:space="preserve"> сельское поселение Панинского</w:t>
      </w:r>
      <w:r w:rsidRPr="008B0883">
        <w:rPr>
          <w:rFonts w:cs="Times New Roman"/>
          <w:sz w:val="28"/>
          <w:szCs w:val="28"/>
        </w:rPr>
        <w:t xml:space="preserve"> муниципального района, а также путем исключения из реестра соответствующих сведений об объекте учета при прекращении права собственности муниципального образования </w:t>
      </w:r>
      <w:r w:rsidR="00B43A57">
        <w:rPr>
          <w:rFonts w:cs="Times New Roman"/>
          <w:sz w:val="28"/>
          <w:szCs w:val="28"/>
        </w:rPr>
        <w:t>Прогрессовское</w:t>
      </w:r>
      <w:r w:rsidR="00A42F52" w:rsidRPr="008B0883">
        <w:rPr>
          <w:rFonts w:cs="Times New Roman"/>
          <w:sz w:val="28"/>
          <w:szCs w:val="28"/>
        </w:rPr>
        <w:t xml:space="preserve"> сельское поселение Панинского </w:t>
      </w:r>
      <w:r w:rsidRPr="008B0883">
        <w:rPr>
          <w:rFonts w:cs="Times New Roman"/>
          <w:sz w:val="28"/>
          <w:szCs w:val="28"/>
        </w:rPr>
        <w:t>муниципального района на него и (или) деятельности правообладателя.</w:t>
      </w:r>
    </w:p>
    <w:p w:rsidR="00B76AD2" w:rsidRPr="008B0883" w:rsidRDefault="005A6F9C" w:rsidP="008B0883">
      <w:pPr>
        <w:pStyle w:val="a7"/>
        <w:ind w:firstLine="680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8. Неотъемлемой частью реестра являются: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а) документы, подтверждающие сведения, включаемые в реестр (далее - подтверждающие документы);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б) иные документы, предусмотренные правовыми актами администрации </w:t>
      </w:r>
      <w:r w:rsidR="00B43A57">
        <w:rPr>
          <w:rFonts w:cs="Times New Roman"/>
          <w:sz w:val="28"/>
          <w:szCs w:val="28"/>
        </w:rPr>
        <w:t>Прогрессовского</w:t>
      </w:r>
      <w:r w:rsidR="00A42F52" w:rsidRPr="008B0883">
        <w:rPr>
          <w:rFonts w:cs="Times New Roman"/>
          <w:sz w:val="28"/>
          <w:szCs w:val="28"/>
        </w:rPr>
        <w:t xml:space="preserve"> сельского поселения Панинского</w:t>
      </w:r>
      <w:r w:rsidRPr="008B0883">
        <w:rPr>
          <w:rFonts w:cs="Times New Roman"/>
          <w:sz w:val="28"/>
          <w:szCs w:val="28"/>
        </w:rPr>
        <w:t xml:space="preserve"> муниципального района.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9. 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76AD2" w:rsidRPr="008B0883" w:rsidRDefault="00782D1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            </w:t>
      </w:r>
      <w:r w:rsidR="005A6F9C" w:rsidRPr="008B0883">
        <w:rPr>
          <w:rFonts w:cs="Times New Roman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Сведения, содержащиеся в реестре, хранятся в соответствии с </w:t>
      </w:r>
      <w:hyperlink r:id="rId9" w:history="1">
        <w:r w:rsidRPr="008B0883">
          <w:rPr>
            <w:rFonts w:cs="Times New Roman"/>
            <w:sz w:val="28"/>
            <w:szCs w:val="28"/>
          </w:rPr>
          <w:t>Федеральным законом</w:t>
        </w:r>
      </w:hyperlink>
      <w:r w:rsidRPr="008B0883">
        <w:rPr>
          <w:rFonts w:cs="Times New Roman"/>
          <w:sz w:val="28"/>
          <w:szCs w:val="28"/>
        </w:rPr>
        <w:t xml:space="preserve"> от 22 октября 2004 г. N 125-ФЗ "Об архивном деле в Российской Федерации".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7"/>
        <w:ind w:firstLine="141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II. Состав сведений, подлежащих отражению в реестре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10. Реестр состоит из 3 разделов. В раздел 1 вносятся сведения о недвижимом имуществе, в раздел 2 вносятся сведения о движимом,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7"/>
        <w:ind w:firstLine="680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11. В раздел 1 вносятся сведения о недвижимом имуществе.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lastRenderedPageBreak/>
        <w:t>В подраздел 1.1 раздела 1 реестра вносятся сведения о земельных участках, в том числе: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наименование земельного участка;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адрес (местоположение) земельного участка;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кадастровый номер земельного участка (с датой присвоения);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правообладателе);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 стоимости земельного участка;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 произведенном улучшении земельного участка;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лице, в пользу которого установлены ограничения (обременения);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иные сведения (при необходимости).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вид объекта учета;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наименование объекта учета; - назначение объекта учета;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адрес (местоположение) объекта;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кадастровый номер объекта учета (с датой присвоения);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 земельном участке, на котором расположен объект учета (кадастровый номер, форма собственности, площадь);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 правообладателе;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lastRenderedPageBreak/>
        <w:t>- 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инвентарный номер объекта учета;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 стоимости объекта учета;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об изменениях объекта учета (произведенных достройках, капитальном ремонте, реконструкции, модернизации, сносе);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 лице, в пользу которого установлены ограничения (обременения);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иные сведения (при необходимости).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вид объекта учета;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наименование объекта учета; - назначение объекта учета;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адрес (местоположение) объекта учета;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кадастровый номер объекта учета (с датой присвоения);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 здании, сооружении, в состав которого входит объект учета (кадастровый номер, форма собственности);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 правообладателе;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инвентарный номер объекта учета;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 стоимости объекта учета;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об изменениях объекта учета (произведенных достройках, капитальном ремонте, реконструкции, модернизации, сносе);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 лице, в пользу которого установлены ограничения (обременения); - иные сведения (при необходимости).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7"/>
        <w:ind w:firstLine="680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 раздел 2 вносятся сведения о движимом и ином имуществе.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 подраздел 2.1 раздела 2 реестра вносятся сведения об акциях, в том числе: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lastRenderedPageBreak/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сведения о правообладателе;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 сведения о лице, в пользу которого установлены ограничения (обременения);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иные сведения (при необходимости).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 правообладателе;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 сведения о лице, в пользу которого установлены ограничения (обременения);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иные сведения (при необходимости).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наименование движимого имущества (иного имущества);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об объекте учета, в том числе: марка, модель, год выпуска, инвентарный номер;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 правообладателе; - сведения о стоимости;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 лице, в пользу которого установлены ограничения (обременения); - иные сведения (при необходимости).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lastRenderedPageBreak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 размер доли в праве общей долевой собственности на объекты недвижимого и (или) движимого имущества;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 стоимости доли;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лиц); сведения о правообладателе;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сведения о лице, в пользу которого установлены ограничения (обременения); иные сведения (при необходимости).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сведения о правообладателях;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реестровый номер объектов учета, принадлежащих на соответствующем вещном праве;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реестровый номер объектов учета, вещные права на которые ограничены (обременены) в пользу правообладателя;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- иные сведения (при необходимости).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12. 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7"/>
        <w:ind w:firstLine="680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III. Порядок учета муниципального имущества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13. 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lastRenderedPageBreak/>
        <w:t>14. 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15. 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16. 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17. 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18. Сведения об объекте учета, заявления и документы, указанные в пунктах 13-16 настоящего Порядка, направляются в уполномоченный орган правообладателем или лицом, которому имущество принадлежало на вещном праве, на бумажном </w:t>
      </w:r>
      <w:r w:rsidRPr="008B0883">
        <w:rPr>
          <w:rFonts w:cs="Times New Roman"/>
          <w:sz w:val="28"/>
          <w:szCs w:val="28"/>
        </w:rPr>
        <w:lastRenderedPageBreak/>
        <w:t>носителе или в форме электронного документа, подписанного с использованием усиленной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квалифицированной электронной подписи уполномоченным должностным лицом правообладателя.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19. 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20. 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а) 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б) 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в) о приостановлении процедуры учета в реестре объекта учета в следующих случаях: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21. 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а) вносит в реестр сведения об объекте учета, в том числе о правообладателях (при наличии);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lastRenderedPageBreak/>
        <w:t>б) 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22. 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</w:t>
      </w: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уполномоченным органом в порядке, установленном пунктами 15 - 23 настоящего Порядка.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7"/>
        <w:ind w:firstLine="124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IV. Предоставление информации из реестра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23. 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решением Совета народных депутатов </w:t>
      </w:r>
      <w:r w:rsidR="00B43A57">
        <w:rPr>
          <w:rFonts w:cs="Times New Roman"/>
          <w:sz w:val="28"/>
          <w:szCs w:val="28"/>
        </w:rPr>
        <w:t>Прогрессовского</w:t>
      </w:r>
      <w:r w:rsidRPr="008B0883">
        <w:rPr>
          <w:rFonts w:cs="Times New Roman"/>
          <w:sz w:val="28"/>
          <w:szCs w:val="28"/>
        </w:rPr>
        <w:t xml:space="preserve"> сельского поселения </w:t>
      </w:r>
      <w:r w:rsidR="00F802EA" w:rsidRPr="008B0883">
        <w:rPr>
          <w:rFonts w:cs="Times New Roman"/>
          <w:sz w:val="28"/>
          <w:szCs w:val="28"/>
        </w:rPr>
        <w:t>Панинского</w:t>
      </w:r>
      <w:r w:rsidRPr="008B0883">
        <w:rPr>
          <w:rFonts w:cs="Times New Roman"/>
          <w:sz w:val="28"/>
          <w:szCs w:val="28"/>
        </w:rPr>
        <w:t xml:space="preserve"> муниципального района Воронежской области, за исключением случаев предоставления информации безвозмездно в порядке, предусмотренном пунктом 29 настоящего Порядка.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24. 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B76AD2" w:rsidRPr="008B0883" w:rsidRDefault="005A6F9C" w:rsidP="008B0883">
      <w:pPr>
        <w:pStyle w:val="a3"/>
        <w:ind w:firstLine="0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76AD2" w:rsidRPr="008B0883" w:rsidRDefault="005A6F9C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25. 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</w:t>
      </w:r>
      <w:r w:rsidRPr="008B0883">
        <w:rPr>
          <w:rFonts w:cs="Times New Roman"/>
          <w:sz w:val="28"/>
          <w:szCs w:val="28"/>
        </w:rPr>
        <w:lastRenderedPageBreak/>
        <w:t>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804276" w:rsidRPr="008B0883" w:rsidRDefault="00A42F52" w:rsidP="008B0883">
      <w:pPr>
        <w:pStyle w:val="a3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26. </w:t>
      </w:r>
      <w:r w:rsidR="00804276" w:rsidRPr="008B0883">
        <w:rPr>
          <w:rFonts w:cs="Times New Roman"/>
          <w:sz w:val="28"/>
          <w:szCs w:val="28"/>
        </w:rPr>
        <w:t>В соответствии с п.1 Распоряжения Правительства Российской Федерации от 30.11.2023 №3439-р «Об установлении единых принципов учета государственного и муниципального имущества и размещение данных о нем в открытом доступе в информационно-телекоммуникационной сети «Интернет» принцип прозрачности и открытости сведений об объектах имущества, в соответствии с которым полнота, доступность, обязательность опубликования и обеспечения доступа к информации об имуществе, подлежат опубликованию в информационно-телекоммуникационной сети «Интернет», с учетом ограничений, установленных законодательством Российской Федерации.</w:t>
      </w:r>
    </w:p>
    <w:p w:rsidR="00A42F52" w:rsidRPr="008B0883" w:rsidRDefault="00A42F52" w:rsidP="008B0883">
      <w:pPr>
        <w:pStyle w:val="a3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8B0883" w:rsidRDefault="008B088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8B0883" w:rsidRDefault="008B088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8B0883" w:rsidRDefault="008B088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8B0883" w:rsidRDefault="008B088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8B0883" w:rsidRDefault="008B088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8B0883" w:rsidRDefault="008B088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8B0883" w:rsidRDefault="008B088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8B0883" w:rsidRDefault="008B088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8B0883" w:rsidRPr="008B0883" w:rsidRDefault="008B088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FB2513" w:rsidRPr="008B0883" w:rsidRDefault="00FB2513" w:rsidP="008B0883">
      <w:pPr>
        <w:pStyle w:val="a7"/>
        <w:ind w:firstLine="7540"/>
        <w:jc w:val="both"/>
        <w:rPr>
          <w:rFonts w:cs="Times New Roman"/>
          <w:sz w:val="28"/>
          <w:szCs w:val="28"/>
        </w:rPr>
      </w:pPr>
    </w:p>
    <w:p w:rsidR="008B0883" w:rsidRDefault="005A6F9C" w:rsidP="008B0883">
      <w:pPr>
        <w:pStyle w:val="a7"/>
        <w:ind w:firstLine="7540"/>
        <w:jc w:val="right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lastRenderedPageBreak/>
        <w:t xml:space="preserve">Приложение </w:t>
      </w:r>
      <w:r w:rsidR="008B0883"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r w:rsidRPr="008B0883">
        <w:rPr>
          <w:rFonts w:cs="Times New Roman"/>
          <w:sz w:val="28"/>
          <w:szCs w:val="28"/>
        </w:rPr>
        <w:t xml:space="preserve">к Порядку ведения реестра муниципального имущества </w:t>
      </w:r>
    </w:p>
    <w:p w:rsidR="00B76AD2" w:rsidRPr="008B0883" w:rsidRDefault="00B43A57" w:rsidP="008B0883">
      <w:pPr>
        <w:pStyle w:val="a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Прогрессовского</w:t>
      </w:r>
      <w:r w:rsidR="00782D1C" w:rsidRPr="008B0883">
        <w:rPr>
          <w:rFonts w:cs="Times New Roman"/>
          <w:sz w:val="28"/>
          <w:szCs w:val="28"/>
        </w:rPr>
        <w:t xml:space="preserve"> сельского поселения Панинского</w:t>
      </w:r>
      <w:r w:rsidR="005A6F9C" w:rsidRPr="008B0883">
        <w:rPr>
          <w:rFonts w:cs="Times New Roman"/>
          <w:sz w:val="28"/>
          <w:szCs w:val="28"/>
        </w:rPr>
        <w:t xml:space="preserve"> муниципального района Воронежской области, утвержденному решением Совета народных депутатов </w:t>
      </w:r>
      <w:r>
        <w:rPr>
          <w:rFonts w:cs="Times New Roman"/>
          <w:sz w:val="28"/>
          <w:szCs w:val="28"/>
        </w:rPr>
        <w:t>Прогрессовского</w:t>
      </w:r>
      <w:r w:rsidR="00782D1C" w:rsidRPr="008B0883">
        <w:rPr>
          <w:rFonts w:cs="Times New Roman"/>
          <w:sz w:val="28"/>
          <w:szCs w:val="28"/>
        </w:rPr>
        <w:t xml:space="preserve"> сельского поселения Панинского</w:t>
      </w:r>
      <w:r w:rsidR="005A6F9C" w:rsidRPr="008B0883">
        <w:rPr>
          <w:rFonts w:cs="Times New Roman"/>
          <w:sz w:val="28"/>
          <w:szCs w:val="28"/>
        </w:rPr>
        <w:t xml:space="preserve"> муниципального района Воронежской области</w:t>
      </w:r>
    </w:p>
    <w:p w:rsidR="008B0883" w:rsidRPr="00FC5946" w:rsidRDefault="008B0883" w:rsidP="008B0883">
      <w:pPr>
        <w:pStyle w:val="a3"/>
        <w:ind w:firstLine="680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 xml:space="preserve">        </w:t>
      </w:r>
    </w:p>
    <w:p w:rsidR="00B76AD2" w:rsidRPr="00FC5946" w:rsidRDefault="008B0883" w:rsidP="008B0883">
      <w:pPr>
        <w:pStyle w:val="a3"/>
        <w:ind w:firstLine="680"/>
        <w:jc w:val="center"/>
        <w:rPr>
          <w:rFonts w:cs="Times New Roman"/>
          <w:sz w:val="28"/>
          <w:szCs w:val="28"/>
        </w:rPr>
      </w:pPr>
      <w:r w:rsidRPr="00FC5946">
        <w:rPr>
          <w:rFonts w:cs="Times New Roman"/>
          <w:sz w:val="28"/>
          <w:szCs w:val="28"/>
        </w:rPr>
        <w:t xml:space="preserve">                                                                                            от </w:t>
      </w:r>
      <w:r w:rsidR="00FC5946">
        <w:rPr>
          <w:rFonts w:cs="Times New Roman"/>
          <w:sz w:val="28"/>
          <w:szCs w:val="28"/>
        </w:rPr>
        <w:t>25</w:t>
      </w:r>
      <w:r w:rsidRPr="00FC5946">
        <w:rPr>
          <w:rFonts w:cs="Times New Roman"/>
          <w:sz w:val="28"/>
          <w:szCs w:val="28"/>
        </w:rPr>
        <w:t>.</w:t>
      </w:r>
      <w:r w:rsidR="00FC5946">
        <w:rPr>
          <w:rFonts w:cs="Times New Roman"/>
          <w:sz w:val="28"/>
          <w:szCs w:val="28"/>
        </w:rPr>
        <w:t>06.</w:t>
      </w:r>
      <w:r w:rsidRPr="00FC5946">
        <w:rPr>
          <w:rFonts w:cs="Times New Roman"/>
          <w:sz w:val="28"/>
          <w:szCs w:val="28"/>
        </w:rPr>
        <w:t>2024 г. N 1</w:t>
      </w:r>
      <w:r w:rsidR="00FC5946">
        <w:rPr>
          <w:rFonts w:cs="Times New Roman"/>
          <w:sz w:val="28"/>
          <w:szCs w:val="28"/>
        </w:rPr>
        <w:t>6</w:t>
      </w:r>
      <w:r w:rsidRPr="00FC5946">
        <w:rPr>
          <w:rFonts w:cs="Times New Roman"/>
          <w:sz w:val="28"/>
          <w:szCs w:val="28"/>
        </w:rPr>
        <w:t>0</w:t>
      </w:r>
    </w:p>
    <w:p w:rsidR="00B76AD2" w:rsidRPr="008B0883" w:rsidRDefault="008B0883" w:rsidP="008B0883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B76AD2" w:rsidRPr="008B0883" w:rsidRDefault="005A6F9C" w:rsidP="008B0883">
      <w:pPr>
        <w:pStyle w:val="a7"/>
        <w:ind w:firstLine="1814"/>
        <w:jc w:val="center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ВЫПИСКА N______</w:t>
      </w:r>
    </w:p>
    <w:p w:rsidR="00B76AD2" w:rsidRPr="008B0883" w:rsidRDefault="005A6F9C" w:rsidP="008B0883">
      <w:pPr>
        <w:pStyle w:val="3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 xml:space="preserve">из реестра муниципального имущества </w:t>
      </w:r>
      <w:r w:rsidR="00B43A57">
        <w:rPr>
          <w:rFonts w:cs="Times New Roman"/>
          <w:sz w:val="28"/>
          <w:szCs w:val="28"/>
        </w:rPr>
        <w:t>Прогрессовского</w:t>
      </w:r>
      <w:r w:rsidR="00782D1C" w:rsidRPr="008B0883">
        <w:rPr>
          <w:rFonts w:cs="Times New Roman"/>
          <w:sz w:val="28"/>
          <w:szCs w:val="28"/>
        </w:rPr>
        <w:t xml:space="preserve"> сельского поселения Панинского </w:t>
      </w:r>
      <w:r w:rsidRPr="008B0883">
        <w:rPr>
          <w:rFonts w:cs="Times New Roman"/>
          <w:sz w:val="28"/>
          <w:szCs w:val="28"/>
        </w:rPr>
        <w:t>муниципального района Воронежской области об объекте учета муниципального имущества на "____"______________20___г.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Заявитель________________________________________________________________ (наименование юридического лица, фамилия, имя, отчество</w:t>
      </w:r>
    </w:p>
    <w:p w:rsidR="00B76AD2" w:rsidRPr="008B0883" w:rsidRDefault="005A6F9C" w:rsidP="008B0883">
      <w:pPr>
        <w:pStyle w:val="a7"/>
        <w:ind w:firstLine="141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(при наличии) физического лица)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7"/>
        <w:ind w:firstLine="964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1. Сведения об объекте муниципального имущества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Вид и наименование объекта учета_________________________________________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tbl>
      <w:tblPr>
        <w:tblW w:w="4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11"/>
        <w:gridCol w:w="2551"/>
      </w:tblGrid>
      <w:tr w:rsidR="00B76AD2" w:rsidRPr="008B0883" w:rsidTr="00B76AD2"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Pr="008B0883" w:rsidRDefault="005A6F9C" w:rsidP="008B0883">
            <w:pPr>
              <w:pStyle w:val="a7"/>
              <w:ind w:firstLine="113"/>
              <w:jc w:val="both"/>
              <w:rPr>
                <w:rFonts w:cs="Times New Roman"/>
                <w:sz w:val="28"/>
                <w:szCs w:val="28"/>
              </w:rPr>
            </w:pPr>
            <w:r w:rsidRPr="008B0883">
              <w:rPr>
                <w:rFonts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Pr="008B0883" w:rsidRDefault="00B76AD2" w:rsidP="008B0883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B76AD2" w:rsidRPr="008B0883" w:rsidRDefault="00B76AD2" w:rsidP="008B0883">
      <w:pPr>
        <w:jc w:val="both"/>
        <w:rPr>
          <w:rFonts w:cs="Times New Roman"/>
          <w:vanish/>
          <w:sz w:val="28"/>
          <w:szCs w:val="28"/>
        </w:rPr>
      </w:pPr>
    </w:p>
    <w:tbl>
      <w:tblPr>
        <w:tblW w:w="44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5"/>
        <w:gridCol w:w="2154"/>
      </w:tblGrid>
      <w:tr w:rsidR="00B76AD2" w:rsidRPr="008B0883" w:rsidTr="00B76AD2"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Pr="008B0883" w:rsidRDefault="005A6F9C" w:rsidP="008B0883">
            <w:pPr>
              <w:pStyle w:val="a7"/>
              <w:ind w:firstLine="283"/>
              <w:jc w:val="both"/>
              <w:rPr>
                <w:rFonts w:cs="Times New Roman"/>
                <w:sz w:val="28"/>
                <w:szCs w:val="28"/>
              </w:rPr>
            </w:pPr>
            <w:r w:rsidRPr="008B0883">
              <w:rPr>
                <w:rFonts w:cs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Pr="008B0883" w:rsidRDefault="00B76AD2" w:rsidP="008B0883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B76AD2" w:rsidRPr="008B0883" w:rsidRDefault="00B76AD2" w:rsidP="008B0883">
      <w:pPr>
        <w:jc w:val="both"/>
        <w:rPr>
          <w:rFonts w:cs="Times New Roman"/>
          <w:vanish/>
          <w:sz w:val="28"/>
          <w:szCs w:val="28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46"/>
        <w:gridCol w:w="5159"/>
      </w:tblGrid>
      <w:tr w:rsidR="00B76AD2" w:rsidRPr="008B0883" w:rsidTr="00B76AD2">
        <w:tc>
          <w:tcPr>
            <w:tcW w:w="50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Pr="008B0883" w:rsidRDefault="005A6F9C" w:rsidP="008B0883">
            <w:pPr>
              <w:pStyle w:val="a7"/>
              <w:ind w:firstLine="1247"/>
              <w:jc w:val="both"/>
              <w:rPr>
                <w:rFonts w:cs="Times New Roman"/>
                <w:sz w:val="28"/>
                <w:szCs w:val="28"/>
              </w:rPr>
            </w:pPr>
            <w:r w:rsidRPr="008B0883">
              <w:rPr>
                <w:rFonts w:cs="Times New Roman"/>
                <w:sz w:val="28"/>
                <w:szCs w:val="28"/>
              </w:rPr>
              <w:t>Наименования сведений</w:t>
            </w:r>
          </w:p>
        </w:tc>
        <w:tc>
          <w:tcPr>
            <w:tcW w:w="5159" w:type="dxa"/>
            <w:tcBorders>
              <w:top w:val="single" w:sz="2" w:space="0" w:color="000000"/>
              <w:bottom w:val="single" w:sz="2" w:space="0" w:color="000000"/>
            </w:tcBorders>
          </w:tcPr>
          <w:p w:rsidR="00B76AD2" w:rsidRPr="008B0883" w:rsidRDefault="005A6F9C" w:rsidP="008B0883">
            <w:pPr>
              <w:pStyle w:val="a7"/>
              <w:ind w:firstLine="1531"/>
              <w:jc w:val="both"/>
              <w:rPr>
                <w:rFonts w:cs="Times New Roman"/>
                <w:sz w:val="28"/>
                <w:szCs w:val="28"/>
              </w:rPr>
            </w:pPr>
            <w:r w:rsidRPr="008B0883">
              <w:rPr>
                <w:rFonts w:cs="Times New Roman"/>
                <w:sz w:val="28"/>
                <w:szCs w:val="28"/>
              </w:rPr>
              <w:t>Значения сведений</w:t>
            </w:r>
          </w:p>
        </w:tc>
      </w:tr>
      <w:tr w:rsidR="00B76AD2" w:rsidRPr="008B0883" w:rsidTr="00B76AD2"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Pr="008B0883" w:rsidRDefault="005A6F9C" w:rsidP="008B0883">
            <w:pPr>
              <w:pStyle w:val="a7"/>
              <w:ind w:firstLine="2381"/>
              <w:jc w:val="both"/>
              <w:rPr>
                <w:rFonts w:cs="Times New Roman"/>
                <w:sz w:val="28"/>
                <w:szCs w:val="28"/>
              </w:rPr>
            </w:pPr>
            <w:r w:rsidRPr="008B088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59" w:type="dxa"/>
            <w:tcBorders>
              <w:bottom w:val="single" w:sz="2" w:space="0" w:color="000000"/>
            </w:tcBorders>
          </w:tcPr>
          <w:p w:rsidR="00B76AD2" w:rsidRPr="008B0883" w:rsidRDefault="005A6F9C" w:rsidP="008B0883">
            <w:pPr>
              <w:pStyle w:val="a7"/>
              <w:ind w:firstLine="2494"/>
              <w:jc w:val="both"/>
              <w:rPr>
                <w:rFonts w:cs="Times New Roman"/>
                <w:sz w:val="28"/>
                <w:szCs w:val="28"/>
              </w:rPr>
            </w:pPr>
            <w:r w:rsidRPr="008B0883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B76AD2" w:rsidRPr="008B0883" w:rsidTr="00B76AD2"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Pr="008B0883" w:rsidRDefault="00B76AD2" w:rsidP="008B0883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bottom w:val="single" w:sz="2" w:space="0" w:color="000000"/>
            </w:tcBorders>
          </w:tcPr>
          <w:p w:rsidR="00B76AD2" w:rsidRPr="008B0883" w:rsidRDefault="00B76AD2" w:rsidP="008B0883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B76AD2" w:rsidRPr="008B0883" w:rsidTr="00B76AD2"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Pr="008B0883" w:rsidRDefault="00B76AD2" w:rsidP="008B0883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59" w:type="dxa"/>
            <w:tcBorders>
              <w:bottom w:val="single" w:sz="2" w:space="0" w:color="000000"/>
            </w:tcBorders>
          </w:tcPr>
          <w:p w:rsidR="00B76AD2" w:rsidRPr="008B0883" w:rsidRDefault="00B76AD2" w:rsidP="008B0883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2. Информация об изменении сведений об объекте учета муниципального имущества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6"/>
        <w:gridCol w:w="3061"/>
        <w:gridCol w:w="3628"/>
      </w:tblGrid>
      <w:tr w:rsidR="00B76AD2" w:rsidRPr="008B0883" w:rsidTr="00B76AD2">
        <w:tc>
          <w:tcPr>
            <w:tcW w:w="3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Pr="008B0883" w:rsidRDefault="005A6F9C" w:rsidP="008B0883">
            <w:pPr>
              <w:pStyle w:val="a7"/>
              <w:ind w:firstLine="397"/>
              <w:jc w:val="both"/>
              <w:rPr>
                <w:rFonts w:cs="Times New Roman"/>
                <w:sz w:val="28"/>
                <w:szCs w:val="28"/>
              </w:rPr>
            </w:pPr>
            <w:r w:rsidRPr="008B0883">
              <w:rPr>
                <w:rFonts w:cs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Pr="008B0883" w:rsidRDefault="005A6F9C" w:rsidP="008B0883">
            <w:pPr>
              <w:pStyle w:val="a7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8B0883">
              <w:rPr>
                <w:rFonts w:cs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3628" w:type="dxa"/>
            <w:tcBorders>
              <w:top w:val="single" w:sz="2" w:space="0" w:color="000000"/>
              <w:bottom w:val="single" w:sz="2" w:space="0" w:color="000000"/>
            </w:tcBorders>
          </w:tcPr>
          <w:p w:rsidR="00B76AD2" w:rsidRPr="008B0883" w:rsidRDefault="005A6F9C" w:rsidP="008B0883">
            <w:pPr>
              <w:pStyle w:val="a7"/>
              <w:ind w:firstLine="964"/>
              <w:jc w:val="both"/>
              <w:rPr>
                <w:rFonts w:cs="Times New Roman"/>
                <w:sz w:val="28"/>
                <w:szCs w:val="28"/>
              </w:rPr>
            </w:pPr>
            <w:r w:rsidRPr="008B0883">
              <w:rPr>
                <w:rFonts w:cs="Times New Roman"/>
                <w:sz w:val="28"/>
                <w:szCs w:val="28"/>
              </w:rPr>
              <w:t>Дата изменения</w:t>
            </w:r>
          </w:p>
        </w:tc>
      </w:tr>
      <w:tr w:rsidR="00B76AD2" w:rsidRPr="008B0883" w:rsidTr="00B76AD2"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Pr="008B0883" w:rsidRDefault="005A6F9C" w:rsidP="008B0883">
            <w:pPr>
              <w:pStyle w:val="a7"/>
              <w:ind w:firstLine="1701"/>
              <w:jc w:val="both"/>
              <w:rPr>
                <w:rFonts w:cs="Times New Roman"/>
                <w:sz w:val="28"/>
                <w:szCs w:val="28"/>
              </w:rPr>
            </w:pPr>
            <w:r w:rsidRPr="008B088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Pr="008B0883" w:rsidRDefault="005A6F9C" w:rsidP="008B0883">
            <w:pPr>
              <w:pStyle w:val="a7"/>
              <w:ind w:firstLine="1531"/>
              <w:jc w:val="both"/>
              <w:rPr>
                <w:rFonts w:cs="Times New Roman"/>
                <w:sz w:val="28"/>
                <w:szCs w:val="28"/>
              </w:rPr>
            </w:pPr>
            <w:r w:rsidRPr="008B088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28" w:type="dxa"/>
            <w:tcBorders>
              <w:bottom w:val="single" w:sz="2" w:space="0" w:color="000000"/>
            </w:tcBorders>
          </w:tcPr>
          <w:p w:rsidR="00B76AD2" w:rsidRPr="008B0883" w:rsidRDefault="005A6F9C" w:rsidP="008B0883">
            <w:pPr>
              <w:pStyle w:val="a7"/>
              <w:ind w:firstLine="1701"/>
              <w:jc w:val="both"/>
              <w:rPr>
                <w:rFonts w:cs="Times New Roman"/>
                <w:sz w:val="28"/>
                <w:szCs w:val="28"/>
              </w:rPr>
            </w:pPr>
            <w:r w:rsidRPr="008B0883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B76AD2" w:rsidRPr="008B0883" w:rsidTr="00B76AD2"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Pr="008B0883" w:rsidRDefault="00B76AD2" w:rsidP="008B0883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Pr="008B0883" w:rsidRDefault="00B76AD2" w:rsidP="008B0883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bottom w:val="single" w:sz="2" w:space="0" w:color="000000"/>
            </w:tcBorders>
          </w:tcPr>
          <w:p w:rsidR="00B76AD2" w:rsidRPr="008B0883" w:rsidRDefault="00B76AD2" w:rsidP="008B0883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B76AD2" w:rsidRPr="008B0883" w:rsidTr="00B76AD2"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Pr="008B0883" w:rsidRDefault="00B76AD2" w:rsidP="008B0883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Pr="008B0883" w:rsidRDefault="00B76AD2" w:rsidP="008B0883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bottom w:val="single" w:sz="2" w:space="0" w:color="000000"/>
            </w:tcBorders>
          </w:tcPr>
          <w:p w:rsidR="00B76AD2" w:rsidRPr="008B0883" w:rsidRDefault="00B76AD2" w:rsidP="008B0883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:rsidR="00B76AD2" w:rsidRPr="008B0883" w:rsidRDefault="005A6F9C" w:rsidP="008B0883">
      <w:pPr>
        <w:pStyle w:val="a7"/>
        <w:ind w:firstLine="113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ОТМЕТКА О ПОДТВЕРЖДЕНИИ СВЕДЕНИЙ, СОДЕРЖАЩИХСЯ В НАСТОЯЩЕЙ ВЫПИСКЕ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7"/>
        <w:ind w:firstLine="283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_____________ _____________ ____________________________ (должность) (подпись) (расшифровка подписи)</w:t>
      </w:r>
    </w:p>
    <w:p w:rsidR="00B76AD2" w:rsidRPr="008B0883" w:rsidRDefault="00B76AD2" w:rsidP="008B0883">
      <w:pPr>
        <w:pStyle w:val="a3"/>
        <w:rPr>
          <w:rFonts w:cs="Times New Roman"/>
          <w:sz w:val="28"/>
          <w:szCs w:val="28"/>
        </w:rPr>
      </w:pPr>
    </w:p>
    <w:p w:rsidR="00B76AD2" w:rsidRPr="008B0883" w:rsidRDefault="005A6F9C" w:rsidP="008B0883">
      <w:pPr>
        <w:pStyle w:val="a7"/>
        <w:jc w:val="both"/>
        <w:rPr>
          <w:rFonts w:cs="Times New Roman"/>
          <w:sz w:val="28"/>
          <w:szCs w:val="28"/>
        </w:rPr>
      </w:pPr>
      <w:r w:rsidRPr="008B0883">
        <w:rPr>
          <w:rFonts w:cs="Times New Roman"/>
          <w:sz w:val="28"/>
          <w:szCs w:val="28"/>
        </w:rPr>
        <w:t>"____"______________20__ г.</w:t>
      </w:r>
    </w:p>
    <w:sectPr w:rsidR="00B76AD2" w:rsidRPr="008B0883" w:rsidSect="00B76AD2">
      <w:headerReference w:type="default" r:id="rId10"/>
      <w:footerReference w:type="default" r:id="rId11"/>
      <w:pgSz w:w="11906" w:h="16838"/>
      <w:pgMar w:top="794" w:right="794" w:bottom="794" w:left="7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0C" w:rsidRDefault="00BE720C" w:rsidP="00B76AD2">
      <w:r>
        <w:separator/>
      </w:r>
    </w:p>
  </w:endnote>
  <w:endnote w:type="continuationSeparator" w:id="0">
    <w:p w:rsidR="00BE720C" w:rsidRDefault="00BE720C" w:rsidP="00B7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6"/>
      <w:gridCol w:w="26"/>
      <w:gridCol w:w="26"/>
    </w:tblGrid>
    <w:tr w:rsidR="00F802EA">
      <w:tc>
        <w:tcPr>
          <w:tcW w:w="0" w:type="auto"/>
        </w:tcPr>
        <w:p w:rsidR="00F802EA" w:rsidRDefault="00350ABA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F802EA" w:rsidRDefault="00F802EA">
          <w:pPr>
            <w:pStyle w:val="Standard"/>
            <w:ind w:firstLine="0"/>
            <w:jc w:val="center"/>
          </w:pPr>
          <w:r>
            <w:t xml:space="preserve"> </w:t>
          </w:r>
        </w:p>
      </w:tc>
      <w:tc>
        <w:tcPr>
          <w:tcW w:w="0" w:type="auto"/>
        </w:tcPr>
        <w:p w:rsidR="00F802EA" w:rsidRDefault="00F802EA">
          <w:pPr>
            <w:pStyle w:val="Standard"/>
            <w:ind w:firstLine="0"/>
            <w:jc w:val="right"/>
          </w:pPr>
          <w:r>
            <w:t xml:space="preserve"> 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0C" w:rsidRDefault="00BE720C" w:rsidP="00B76AD2">
      <w:r>
        <w:separator/>
      </w:r>
    </w:p>
  </w:footnote>
  <w:footnote w:type="continuationSeparator" w:id="0">
    <w:p w:rsidR="00BE720C" w:rsidRDefault="00BE720C" w:rsidP="00B76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EA" w:rsidRDefault="00F802EA">
    <w:pPr>
      <w:pStyle w:val="Standard"/>
      <w:ind w:firstLine="0"/>
      <w:jc w:val="lef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7F4B"/>
    <w:multiLevelType w:val="hybridMultilevel"/>
    <w:tmpl w:val="8AC4ECB2"/>
    <w:lvl w:ilvl="0" w:tplc="0638154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6AD2"/>
    <w:rsid w:val="000B4521"/>
    <w:rsid w:val="00184938"/>
    <w:rsid w:val="001E42A8"/>
    <w:rsid w:val="00255A88"/>
    <w:rsid w:val="00350ABA"/>
    <w:rsid w:val="0054174D"/>
    <w:rsid w:val="00596248"/>
    <w:rsid w:val="005A6F9C"/>
    <w:rsid w:val="006F647B"/>
    <w:rsid w:val="00782D1C"/>
    <w:rsid w:val="007C1D6D"/>
    <w:rsid w:val="00804276"/>
    <w:rsid w:val="008565FE"/>
    <w:rsid w:val="008B0883"/>
    <w:rsid w:val="00A42F52"/>
    <w:rsid w:val="00B43A57"/>
    <w:rsid w:val="00B47FC5"/>
    <w:rsid w:val="00B76AD2"/>
    <w:rsid w:val="00BE720C"/>
    <w:rsid w:val="00C72C26"/>
    <w:rsid w:val="00F802EA"/>
    <w:rsid w:val="00FB2513"/>
    <w:rsid w:val="00FC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AD2"/>
    <w:rPr>
      <w:rFonts w:ascii="Times New Roman" w:hAnsi="Times New Roman"/>
      <w:sz w:val="24"/>
    </w:rPr>
  </w:style>
  <w:style w:type="paragraph" w:styleId="1">
    <w:name w:val="heading 1"/>
    <w:basedOn w:val="Heading"/>
    <w:rsid w:val="00B76AD2"/>
    <w:pPr>
      <w:outlineLvl w:val="0"/>
    </w:pPr>
  </w:style>
  <w:style w:type="paragraph" w:styleId="2">
    <w:name w:val="heading 2"/>
    <w:basedOn w:val="Heading"/>
    <w:rsid w:val="00B76AD2"/>
    <w:pPr>
      <w:outlineLvl w:val="1"/>
    </w:pPr>
  </w:style>
  <w:style w:type="paragraph" w:styleId="3">
    <w:name w:val="heading 3"/>
    <w:basedOn w:val="Heading"/>
    <w:rsid w:val="00B76AD2"/>
    <w:pPr>
      <w:outlineLvl w:val="2"/>
    </w:pPr>
  </w:style>
  <w:style w:type="paragraph" w:styleId="4">
    <w:name w:val="heading 4"/>
    <w:basedOn w:val="Heading"/>
    <w:rsid w:val="00B76AD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6AD2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B76AD2"/>
    <w:pPr>
      <w:widowControl/>
      <w:suppressAutoHyphens w:val="0"/>
      <w:jc w:val="both"/>
    </w:pPr>
    <w:rPr>
      <w:rFonts w:ascii="Courier New" w:hAnsi="Courier New"/>
      <w:sz w:val="24"/>
      <w:szCs w:val="24"/>
    </w:rPr>
  </w:style>
  <w:style w:type="paragraph" w:customStyle="1" w:styleId="Heading">
    <w:name w:val="Heading"/>
    <w:basedOn w:val="Standard"/>
    <w:rsid w:val="00B76AD2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B76AD2"/>
  </w:style>
  <w:style w:type="paragraph" w:customStyle="1" w:styleId="OEM">
    <w:name w:val="Нормальный (OEM)"/>
    <w:basedOn w:val="Preformatted"/>
    <w:rsid w:val="00B76AD2"/>
  </w:style>
  <w:style w:type="paragraph" w:customStyle="1" w:styleId="a4">
    <w:name w:val="Утратил силу"/>
    <w:basedOn w:val="Standard"/>
    <w:rsid w:val="00B76AD2"/>
    <w:rPr>
      <w:strike/>
      <w:color w:val="666600"/>
    </w:rPr>
  </w:style>
  <w:style w:type="paragraph" w:customStyle="1" w:styleId="Textreference">
    <w:name w:val="Text (reference)"/>
    <w:basedOn w:val="Standard"/>
    <w:rsid w:val="00B76AD2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B76AD2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B76AD2"/>
    <w:pPr>
      <w:ind w:left="1612" w:hanging="892"/>
    </w:pPr>
  </w:style>
  <w:style w:type="paragraph" w:customStyle="1" w:styleId="a7">
    <w:name w:val="Прижатый влево"/>
    <w:basedOn w:val="Standard"/>
    <w:rsid w:val="00B76AD2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B76AD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B76AD2"/>
    <w:pPr>
      <w:ind w:left="139" w:hanging="139"/>
    </w:pPr>
  </w:style>
  <w:style w:type="paragraph" w:customStyle="1" w:styleId="aa">
    <w:name w:val="Информация об изменениях"/>
    <w:basedOn w:val="Standard"/>
    <w:rsid w:val="00B76AD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B76AD2"/>
  </w:style>
  <w:style w:type="paragraph" w:customStyle="1" w:styleId="ac">
    <w:name w:val="Сноска"/>
    <w:basedOn w:val="Standard"/>
    <w:rsid w:val="00B76AD2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6AD2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6AD2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5417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40812368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86367/51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373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Прогресс</cp:lastModifiedBy>
  <cp:revision>11</cp:revision>
  <dcterms:created xsi:type="dcterms:W3CDTF">2024-05-17T10:55:00Z</dcterms:created>
  <dcterms:modified xsi:type="dcterms:W3CDTF">2024-06-25T13:23:00Z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